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E51" w14:textId="11803A47" w:rsidR="0040416E" w:rsidRPr="008A4A3B" w:rsidRDefault="0040416E">
      <w:pPr>
        <w:rPr>
          <w:b/>
          <w:bCs/>
          <w:sz w:val="24"/>
          <w:szCs w:val="24"/>
        </w:rPr>
      </w:pPr>
      <w:r w:rsidRPr="008A4A3B">
        <w:rPr>
          <w:b/>
          <w:bCs/>
          <w:sz w:val="24"/>
          <w:szCs w:val="24"/>
        </w:rPr>
        <w:t>Liberty Equality Objectives</w:t>
      </w:r>
      <w:r w:rsidR="00D70317" w:rsidRPr="008A4A3B">
        <w:rPr>
          <w:b/>
          <w:bCs/>
          <w:sz w:val="24"/>
          <w:szCs w:val="24"/>
        </w:rPr>
        <w:t xml:space="preserve"> 2021-22</w:t>
      </w:r>
    </w:p>
    <w:p w14:paraId="6F00BE99" w14:textId="263E0132" w:rsidR="00EB4DAC" w:rsidRPr="008A4A3B" w:rsidRDefault="00EB4DAC" w:rsidP="0040416E">
      <w:pPr>
        <w:rPr>
          <w:sz w:val="24"/>
          <w:szCs w:val="24"/>
        </w:rPr>
      </w:pPr>
      <w:r w:rsidRPr="008A4A3B">
        <w:rPr>
          <w:sz w:val="24"/>
          <w:szCs w:val="24"/>
        </w:rPr>
        <w:t xml:space="preserve">Liberty Training is committed to encouraging diversity and reducing discrimination in both its role as an employer and as a provider of services. Liberty Training aims to create a culture that respects and values differences, that promotes dignity, </w:t>
      </w:r>
      <w:proofErr w:type="gramStart"/>
      <w:r w:rsidRPr="008A4A3B">
        <w:rPr>
          <w:sz w:val="24"/>
          <w:szCs w:val="24"/>
        </w:rPr>
        <w:t>equality</w:t>
      </w:r>
      <w:proofErr w:type="gramEnd"/>
      <w:r w:rsidRPr="008A4A3B">
        <w:rPr>
          <w:sz w:val="24"/>
          <w:szCs w:val="24"/>
        </w:rPr>
        <w:t xml:space="preserve"> and diversity, and that encourages individuals to develop and maximise their true potential. Liberty Training accepts the spirit and intention of the various legislation, </w:t>
      </w:r>
      <w:proofErr w:type="gramStart"/>
      <w:r w:rsidRPr="008A4A3B">
        <w:rPr>
          <w:sz w:val="24"/>
          <w:szCs w:val="24"/>
        </w:rPr>
        <w:t>regulations</w:t>
      </w:r>
      <w:proofErr w:type="gramEnd"/>
      <w:r w:rsidRPr="008A4A3B">
        <w:rPr>
          <w:sz w:val="24"/>
          <w:szCs w:val="24"/>
        </w:rPr>
        <w:t xml:space="preserve"> and codes of practice which separately and collectively outlaw certain kinds of discrimination in selection, recruitment, induction, programme delivery and assessment.</w:t>
      </w:r>
    </w:p>
    <w:p w14:paraId="5A1772F1" w14:textId="77777777" w:rsidR="00EB4DAC" w:rsidRPr="008A4A3B" w:rsidRDefault="00DF432D" w:rsidP="00FF6CC5">
      <w:pPr>
        <w:pStyle w:val="NoSpacing"/>
        <w:rPr>
          <w:sz w:val="24"/>
          <w:szCs w:val="24"/>
        </w:rPr>
      </w:pPr>
      <w:r w:rsidRPr="008A4A3B">
        <w:rPr>
          <w:sz w:val="24"/>
          <w:szCs w:val="24"/>
        </w:rPr>
        <w:t xml:space="preserve">Liberty Training aims to ensure that learners are truly representative of all sections of society and that every learner feels respected and able to give their best. </w:t>
      </w:r>
    </w:p>
    <w:p w14:paraId="5C6F507D" w14:textId="77777777" w:rsidR="00EB4DAC" w:rsidRPr="008A4A3B" w:rsidRDefault="00EB4DAC" w:rsidP="00FF6CC5">
      <w:pPr>
        <w:pStyle w:val="NoSpacing"/>
        <w:rPr>
          <w:sz w:val="24"/>
          <w:szCs w:val="24"/>
        </w:rPr>
      </w:pPr>
    </w:p>
    <w:p w14:paraId="3013BA7C" w14:textId="356FA3FA" w:rsidR="00DF432D" w:rsidRPr="008A4A3B" w:rsidRDefault="00DF432D" w:rsidP="00FF6CC5">
      <w:pPr>
        <w:pStyle w:val="NoSpacing"/>
        <w:rPr>
          <w:sz w:val="24"/>
          <w:szCs w:val="24"/>
        </w:rPr>
      </w:pPr>
      <w:r w:rsidRPr="008A4A3B">
        <w:rPr>
          <w:sz w:val="24"/>
          <w:szCs w:val="24"/>
        </w:rPr>
        <w:t xml:space="preserve">Liberty Training undertakes to ensure equality of treatment for all and aims to: </w:t>
      </w:r>
    </w:p>
    <w:p w14:paraId="16F27C20" w14:textId="77777777" w:rsidR="00EB4DAC" w:rsidRPr="008A4A3B" w:rsidRDefault="00EB4DAC" w:rsidP="00FF6CC5">
      <w:pPr>
        <w:pStyle w:val="NoSpacing"/>
        <w:rPr>
          <w:sz w:val="24"/>
          <w:szCs w:val="24"/>
        </w:rPr>
      </w:pPr>
    </w:p>
    <w:p w14:paraId="4F5BCF97" w14:textId="77777777" w:rsidR="00DF432D" w:rsidRPr="008A4A3B" w:rsidRDefault="00DF432D" w:rsidP="00DF43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A4A3B">
        <w:rPr>
          <w:sz w:val="24"/>
          <w:szCs w:val="24"/>
        </w:rPr>
        <w:t xml:space="preserve">ensure no learner is discriminated against or receives less favourable treatment because of a protected characteristic </w:t>
      </w:r>
    </w:p>
    <w:p w14:paraId="4D945A37" w14:textId="77777777" w:rsidR="00DF432D" w:rsidRPr="008A4A3B" w:rsidRDefault="00DF432D" w:rsidP="00DF43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A4A3B">
        <w:rPr>
          <w:sz w:val="24"/>
          <w:szCs w:val="24"/>
        </w:rPr>
        <w:t xml:space="preserve">ensure awareness is raised around issues of diversity, and </w:t>
      </w:r>
    </w:p>
    <w:p w14:paraId="0C229464" w14:textId="33C0ABB7" w:rsidR="00FF6CC5" w:rsidRPr="008A4A3B" w:rsidRDefault="00DF432D" w:rsidP="00DF43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A4A3B">
        <w:rPr>
          <w:sz w:val="24"/>
          <w:szCs w:val="24"/>
        </w:rPr>
        <w:t>acknowledge any issues of discrimination, harassment or victimisation that are brought to the attention of management ensuring they are investigated and rectified promptly and sensitively using an appropriate procedure</w:t>
      </w:r>
      <w:r w:rsidR="004135DC">
        <w:rPr>
          <w:sz w:val="24"/>
          <w:szCs w:val="24"/>
        </w:rPr>
        <w:t>.</w:t>
      </w:r>
    </w:p>
    <w:p w14:paraId="296B8C1E" w14:textId="77777777" w:rsidR="00DF432D" w:rsidRDefault="00DF432D" w:rsidP="00FF6CC5">
      <w:pPr>
        <w:pStyle w:val="NoSpacing"/>
        <w:rPr>
          <w:sz w:val="24"/>
          <w:szCs w:val="24"/>
        </w:rPr>
      </w:pPr>
    </w:p>
    <w:p w14:paraId="0C738961" w14:textId="69A4A18C" w:rsidR="00D70317" w:rsidRDefault="00D70317" w:rsidP="008A4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equality objectives should be read and understood in conjunction with our </w:t>
      </w:r>
      <w:r w:rsidR="00FF6CC5" w:rsidRPr="00FF6CC5">
        <w:rPr>
          <w:sz w:val="24"/>
          <w:szCs w:val="24"/>
        </w:rPr>
        <w:t xml:space="preserve">Equality and Diversity </w:t>
      </w:r>
      <w:r w:rsidR="00EB4DAC">
        <w:rPr>
          <w:sz w:val="24"/>
          <w:szCs w:val="24"/>
        </w:rPr>
        <w:t>P</w:t>
      </w:r>
      <w:r w:rsidR="00FF6CC5" w:rsidRPr="00FF6CC5">
        <w:rPr>
          <w:sz w:val="24"/>
          <w:szCs w:val="24"/>
        </w:rPr>
        <w:t>olicy</w:t>
      </w:r>
      <w:r>
        <w:rPr>
          <w:sz w:val="24"/>
          <w:szCs w:val="24"/>
        </w:rPr>
        <w:t>.</w:t>
      </w:r>
    </w:p>
    <w:p w14:paraId="6BD66D92" w14:textId="77777777" w:rsidR="008A4A3B" w:rsidRDefault="008A4A3B" w:rsidP="008A4A3B">
      <w:pPr>
        <w:pStyle w:val="NoSpacing"/>
        <w:rPr>
          <w:sz w:val="24"/>
          <w:szCs w:val="24"/>
        </w:rPr>
      </w:pPr>
    </w:p>
    <w:p w14:paraId="4716EAB7" w14:textId="1C9D3494" w:rsidR="0040416E" w:rsidRDefault="0040416E" w:rsidP="0040416E">
      <w:pPr>
        <w:rPr>
          <w:sz w:val="24"/>
          <w:szCs w:val="24"/>
        </w:rPr>
      </w:pPr>
      <w:r w:rsidRPr="00131411">
        <w:rPr>
          <w:sz w:val="24"/>
          <w:szCs w:val="24"/>
        </w:rPr>
        <w:t xml:space="preserve">All equality objectives will be reviewed at the end of each academic year to </w:t>
      </w:r>
      <w:r w:rsidR="00123CF7" w:rsidRPr="00131411">
        <w:rPr>
          <w:sz w:val="24"/>
          <w:szCs w:val="24"/>
        </w:rPr>
        <w:t>determine</w:t>
      </w:r>
      <w:r w:rsidRPr="00131411">
        <w:rPr>
          <w:sz w:val="24"/>
          <w:szCs w:val="24"/>
        </w:rPr>
        <w:t xml:space="preserve"> how far they have been met and what more, if anything</w:t>
      </w:r>
      <w:r w:rsidR="00123CF7">
        <w:rPr>
          <w:sz w:val="24"/>
          <w:szCs w:val="24"/>
        </w:rPr>
        <w:t>,</w:t>
      </w:r>
      <w:r w:rsidRPr="00131411">
        <w:rPr>
          <w:sz w:val="24"/>
          <w:szCs w:val="24"/>
        </w:rPr>
        <w:t xml:space="preserve"> needs to be done to meet and consolidate these objectives.</w:t>
      </w:r>
      <w:r w:rsidR="00D70317">
        <w:rPr>
          <w:sz w:val="24"/>
          <w:szCs w:val="24"/>
        </w:rPr>
        <w:t xml:space="preserve"> New objectives will be set as and when appropriate.</w:t>
      </w:r>
    </w:p>
    <w:p w14:paraId="55F6D8DF" w14:textId="77777777" w:rsidR="00D70317" w:rsidRPr="00131411" w:rsidRDefault="00D70317" w:rsidP="004041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416E" w:rsidRPr="00131411" w14:paraId="0B3E58BB" w14:textId="77777777" w:rsidTr="0040416E">
        <w:tc>
          <w:tcPr>
            <w:tcW w:w="4508" w:type="dxa"/>
          </w:tcPr>
          <w:p w14:paraId="784AC99F" w14:textId="6AADB1BC" w:rsidR="0040416E" w:rsidRPr="00131411" w:rsidRDefault="0040416E" w:rsidP="0040416E">
            <w:pPr>
              <w:rPr>
                <w:sz w:val="24"/>
                <w:szCs w:val="24"/>
              </w:rPr>
            </w:pPr>
            <w:r w:rsidRPr="00131411">
              <w:rPr>
                <w:sz w:val="24"/>
                <w:szCs w:val="24"/>
              </w:rPr>
              <w:t>Objective</w:t>
            </w:r>
          </w:p>
        </w:tc>
        <w:tc>
          <w:tcPr>
            <w:tcW w:w="4508" w:type="dxa"/>
          </w:tcPr>
          <w:p w14:paraId="6825BFDC" w14:textId="6FB34F93" w:rsidR="0040416E" w:rsidRPr="00131411" w:rsidRDefault="0040416E" w:rsidP="0040416E">
            <w:pPr>
              <w:rPr>
                <w:sz w:val="24"/>
                <w:szCs w:val="24"/>
              </w:rPr>
            </w:pPr>
            <w:r w:rsidRPr="00131411">
              <w:rPr>
                <w:sz w:val="24"/>
                <w:szCs w:val="24"/>
              </w:rPr>
              <w:t>Actions</w:t>
            </w:r>
          </w:p>
        </w:tc>
      </w:tr>
      <w:tr w:rsidR="0040416E" w:rsidRPr="00131411" w14:paraId="674839A1" w14:textId="77777777" w:rsidTr="0040416E">
        <w:tc>
          <w:tcPr>
            <w:tcW w:w="4508" w:type="dxa"/>
          </w:tcPr>
          <w:p w14:paraId="04CE87E4" w14:textId="3E1F8C13" w:rsidR="0040416E" w:rsidRPr="005A288B" w:rsidRDefault="00D95F25" w:rsidP="00D95F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 xml:space="preserve">Reduce </w:t>
            </w:r>
            <w:r w:rsidR="00D2605D" w:rsidRPr="005A288B">
              <w:rPr>
                <w:sz w:val="24"/>
                <w:szCs w:val="24"/>
              </w:rPr>
              <w:t>prejudicial bullying</w:t>
            </w:r>
          </w:p>
        </w:tc>
        <w:tc>
          <w:tcPr>
            <w:tcW w:w="4508" w:type="dxa"/>
          </w:tcPr>
          <w:p w14:paraId="268EE9EE" w14:textId="15925657" w:rsidR="0040416E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Promote tolerance, understanding and friendship.</w:t>
            </w:r>
          </w:p>
          <w:p w14:paraId="68C70734" w14:textId="77777777" w:rsidR="00D2605D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Robust and detailed PSHE provision.</w:t>
            </w:r>
          </w:p>
          <w:p w14:paraId="06FB2244" w14:textId="77777777" w:rsidR="00D2605D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Provide opportunities for, and foster, restorative justice approaches.</w:t>
            </w:r>
          </w:p>
          <w:p w14:paraId="023FDE85" w14:textId="05751925" w:rsidR="00D2605D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Challenge any inappropriate behaviours.</w:t>
            </w:r>
          </w:p>
        </w:tc>
      </w:tr>
      <w:tr w:rsidR="0040416E" w:rsidRPr="00131411" w14:paraId="17197C8B" w14:textId="77777777" w:rsidTr="0040416E">
        <w:tc>
          <w:tcPr>
            <w:tcW w:w="4508" w:type="dxa"/>
          </w:tcPr>
          <w:p w14:paraId="58D7C0DD" w14:textId="5DA8F34D" w:rsidR="0040416E" w:rsidRPr="005A288B" w:rsidRDefault="00D2605D" w:rsidP="00D95F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 xml:space="preserve">Promote </w:t>
            </w:r>
            <w:r w:rsidR="00131411" w:rsidRPr="005A288B">
              <w:rPr>
                <w:sz w:val="24"/>
                <w:szCs w:val="24"/>
              </w:rPr>
              <w:t xml:space="preserve">fairness, </w:t>
            </w:r>
            <w:proofErr w:type="gramStart"/>
            <w:r w:rsidR="00131411" w:rsidRPr="005A288B">
              <w:rPr>
                <w:sz w:val="24"/>
                <w:szCs w:val="24"/>
              </w:rPr>
              <w:t>equality</w:t>
            </w:r>
            <w:proofErr w:type="gramEnd"/>
            <w:r w:rsidR="00131411" w:rsidRPr="005A288B">
              <w:rPr>
                <w:sz w:val="24"/>
                <w:szCs w:val="24"/>
              </w:rPr>
              <w:t xml:space="preserve"> and </w:t>
            </w:r>
            <w:r w:rsidRPr="005A288B">
              <w:rPr>
                <w:sz w:val="24"/>
                <w:szCs w:val="24"/>
              </w:rPr>
              <w:t xml:space="preserve">cultural </w:t>
            </w:r>
            <w:r w:rsidR="00131411" w:rsidRPr="005A288B">
              <w:rPr>
                <w:sz w:val="24"/>
                <w:szCs w:val="24"/>
              </w:rPr>
              <w:t>understanding</w:t>
            </w:r>
          </w:p>
        </w:tc>
        <w:tc>
          <w:tcPr>
            <w:tcW w:w="4508" w:type="dxa"/>
          </w:tcPr>
          <w:p w14:paraId="4E16057B" w14:textId="77777777" w:rsidR="0040416E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Deliver cultural topics through lessons and PSHE.</w:t>
            </w:r>
          </w:p>
          <w:p w14:paraId="1F2FACDE" w14:textId="77777777" w:rsidR="00D2605D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Inform learners of cultural events.</w:t>
            </w:r>
          </w:p>
          <w:p w14:paraId="680EB3ED" w14:textId="19B54124" w:rsidR="00D2605D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Encourage participation and college events based around cultural events and dates of significance.</w:t>
            </w:r>
          </w:p>
        </w:tc>
      </w:tr>
      <w:tr w:rsidR="0040416E" w:rsidRPr="00131411" w14:paraId="213E6429" w14:textId="77777777" w:rsidTr="0040416E">
        <w:tc>
          <w:tcPr>
            <w:tcW w:w="4508" w:type="dxa"/>
          </w:tcPr>
          <w:p w14:paraId="47CB941F" w14:textId="25BFB8EF" w:rsidR="0040416E" w:rsidRPr="005A288B" w:rsidRDefault="00D95F25" w:rsidP="00D95F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lastRenderedPageBreak/>
              <w:t xml:space="preserve">Improve progress and outcomes, narrowing the gap between </w:t>
            </w:r>
            <w:r w:rsidR="00131411" w:rsidRPr="005A288B">
              <w:rPr>
                <w:sz w:val="24"/>
                <w:szCs w:val="24"/>
              </w:rPr>
              <w:t xml:space="preserve">minority </w:t>
            </w:r>
            <w:r w:rsidRPr="005A288B">
              <w:rPr>
                <w:sz w:val="24"/>
                <w:szCs w:val="24"/>
              </w:rPr>
              <w:t>groups.</w:t>
            </w:r>
          </w:p>
        </w:tc>
        <w:tc>
          <w:tcPr>
            <w:tcW w:w="4508" w:type="dxa"/>
          </w:tcPr>
          <w:p w14:paraId="37DEA39A" w14:textId="01884913" w:rsidR="0040416E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Monitor and track progress</w:t>
            </w:r>
            <w:r w:rsidR="004135DC">
              <w:rPr>
                <w:sz w:val="24"/>
                <w:szCs w:val="24"/>
              </w:rPr>
              <w:t>.</w:t>
            </w:r>
          </w:p>
          <w:p w14:paraId="5CE26058" w14:textId="64681D37" w:rsidR="00D2605D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Interventions</w:t>
            </w:r>
            <w:r w:rsidR="004135DC">
              <w:rPr>
                <w:sz w:val="24"/>
                <w:szCs w:val="24"/>
              </w:rPr>
              <w:t>.</w:t>
            </w:r>
          </w:p>
          <w:p w14:paraId="6D4AB8E4" w14:textId="0935B37B" w:rsidR="008A4A3B" w:rsidRPr="005A288B" w:rsidRDefault="008A4A3B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Core Goals tracking</w:t>
            </w:r>
            <w:r w:rsidR="005A288B" w:rsidRPr="005A288B">
              <w:rPr>
                <w:sz w:val="24"/>
                <w:szCs w:val="24"/>
              </w:rPr>
              <w:t xml:space="preserve"> – Health and Home Life, Personal Skills, Career and Qualifications</w:t>
            </w:r>
            <w:r w:rsidR="004135DC">
              <w:rPr>
                <w:sz w:val="24"/>
                <w:szCs w:val="24"/>
              </w:rPr>
              <w:t>.</w:t>
            </w:r>
          </w:p>
          <w:p w14:paraId="4CC0F118" w14:textId="6C333538" w:rsidR="005A288B" w:rsidRPr="005A288B" w:rsidRDefault="005A288B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Detailed data tracking</w:t>
            </w:r>
            <w:r w:rsidR="004135DC">
              <w:rPr>
                <w:sz w:val="24"/>
                <w:szCs w:val="24"/>
              </w:rPr>
              <w:t>.</w:t>
            </w:r>
          </w:p>
          <w:p w14:paraId="43E1C350" w14:textId="038DA6C0" w:rsidR="005A288B" w:rsidRPr="005A288B" w:rsidRDefault="005A288B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Data comparison spreadsheets and tracking</w:t>
            </w:r>
            <w:r w:rsidR="004135DC">
              <w:rPr>
                <w:sz w:val="24"/>
                <w:szCs w:val="24"/>
              </w:rPr>
              <w:t>.</w:t>
            </w:r>
          </w:p>
          <w:p w14:paraId="67FE48DE" w14:textId="7BDF8B41" w:rsidR="00D2605D" w:rsidRPr="005A288B" w:rsidRDefault="00D2605D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 xml:space="preserve">Personalisation, </w:t>
            </w:r>
            <w:proofErr w:type="gramStart"/>
            <w:r w:rsidRPr="005A288B">
              <w:rPr>
                <w:sz w:val="24"/>
                <w:szCs w:val="24"/>
              </w:rPr>
              <w:t>differentiation</w:t>
            </w:r>
            <w:proofErr w:type="gramEnd"/>
            <w:r w:rsidRPr="005A288B">
              <w:rPr>
                <w:sz w:val="24"/>
                <w:szCs w:val="24"/>
              </w:rPr>
              <w:t xml:space="preserve"> and quality first teaching.</w:t>
            </w:r>
          </w:p>
        </w:tc>
      </w:tr>
      <w:tr w:rsidR="0040416E" w:rsidRPr="00131411" w14:paraId="3289546A" w14:textId="77777777" w:rsidTr="0040416E">
        <w:tc>
          <w:tcPr>
            <w:tcW w:w="4508" w:type="dxa"/>
          </w:tcPr>
          <w:p w14:paraId="719547DE" w14:textId="65CF57B0" w:rsidR="0040416E" w:rsidRPr="005A288B" w:rsidRDefault="00D95F25" w:rsidP="00D95F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Improve staff awareness and understanding.</w:t>
            </w:r>
          </w:p>
        </w:tc>
        <w:tc>
          <w:tcPr>
            <w:tcW w:w="4508" w:type="dxa"/>
          </w:tcPr>
          <w:p w14:paraId="13B982A9" w14:textId="2FB0547A" w:rsidR="0040416E" w:rsidRPr="005A288B" w:rsidRDefault="00131411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Provide appropriate CPD opportunities.</w:t>
            </w:r>
          </w:p>
          <w:p w14:paraId="1AA5A616" w14:textId="6C58BFC1" w:rsidR="00131411" w:rsidRPr="005A288B" w:rsidRDefault="00131411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Provide training opportunities suited to employee</w:t>
            </w:r>
            <w:r w:rsidR="005A288B" w:rsidRPr="005A288B">
              <w:rPr>
                <w:sz w:val="24"/>
                <w:szCs w:val="24"/>
              </w:rPr>
              <w:t>’</w:t>
            </w:r>
            <w:r w:rsidRPr="005A288B">
              <w:rPr>
                <w:sz w:val="24"/>
                <w:szCs w:val="24"/>
              </w:rPr>
              <w:t>s roles.</w:t>
            </w:r>
          </w:p>
          <w:p w14:paraId="64DD110D" w14:textId="77777777" w:rsidR="00131411" w:rsidRPr="005A288B" w:rsidRDefault="00131411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Ensure safer recruitment and compliance when recruiting.</w:t>
            </w:r>
          </w:p>
          <w:p w14:paraId="7A42940F" w14:textId="77777777" w:rsidR="00131411" w:rsidRPr="005A288B" w:rsidRDefault="00131411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>Undertake many staff meetings and briefings where equality, inclusion and fairness are discussed.</w:t>
            </w:r>
          </w:p>
          <w:p w14:paraId="06F2FABA" w14:textId="6C3E82D6" w:rsidR="00131411" w:rsidRPr="005A288B" w:rsidRDefault="00131411" w:rsidP="0040416E">
            <w:pPr>
              <w:rPr>
                <w:sz w:val="24"/>
                <w:szCs w:val="24"/>
              </w:rPr>
            </w:pPr>
            <w:r w:rsidRPr="005A288B">
              <w:rPr>
                <w:sz w:val="24"/>
                <w:szCs w:val="24"/>
              </w:rPr>
              <w:t xml:space="preserve">Provide all staff with access to all relevant, up to date policies, ensuring that they read and understand said policies. </w:t>
            </w:r>
          </w:p>
        </w:tc>
      </w:tr>
    </w:tbl>
    <w:p w14:paraId="700F15F6" w14:textId="77777777" w:rsidR="0040416E" w:rsidRPr="00131411" w:rsidRDefault="0040416E" w:rsidP="0040416E">
      <w:pPr>
        <w:rPr>
          <w:sz w:val="24"/>
          <w:szCs w:val="24"/>
        </w:rPr>
      </w:pPr>
    </w:p>
    <w:sectPr w:rsidR="0040416E" w:rsidRPr="00131411" w:rsidSect="0076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D41E" w14:textId="77777777" w:rsidR="00B63036" w:rsidRDefault="00B63036" w:rsidP="008A4A3B">
      <w:pPr>
        <w:spacing w:after="0" w:line="240" w:lineRule="auto"/>
      </w:pPr>
      <w:r>
        <w:separator/>
      </w:r>
    </w:p>
  </w:endnote>
  <w:endnote w:type="continuationSeparator" w:id="0">
    <w:p w14:paraId="76BE9A9E" w14:textId="77777777" w:rsidR="00B63036" w:rsidRDefault="00B63036" w:rsidP="008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3413" w14:textId="77777777" w:rsidR="0076044A" w:rsidRDefault="00760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DA44" w14:textId="77777777" w:rsidR="008A4A3B" w:rsidRPr="0076044A" w:rsidRDefault="008A4A3B" w:rsidP="008A4A3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6044A">
      <w:rPr>
        <w:rFonts w:ascii="Calibri" w:eastAsia="Calibri" w:hAnsi="Calibri" w:cs="Times New Roman"/>
        <w:color w:val="7F7F7F" w:themeColor="text1" w:themeTint="80"/>
        <w:sz w:val="18"/>
        <w:szCs w:val="18"/>
      </w:rPr>
      <w:t>Head Office - Paragon House, Albert Street, Ramsgate, CT11 9HD Tel: 01843 446906</w:t>
    </w:r>
  </w:p>
  <w:p w14:paraId="3A4D20E5" w14:textId="77777777" w:rsidR="008A4A3B" w:rsidRPr="0076044A" w:rsidRDefault="008A4A3B" w:rsidP="008A4A3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6044A">
      <w:rPr>
        <w:rFonts w:ascii="Calibri" w:eastAsia="Calibri" w:hAnsi="Calibri" w:cs="Times New Roman"/>
        <w:color w:val="7F7F7F" w:themeColor="text1" w:themeTint="80"/>
        <w:sz w:val="18"/>
        <w:szCs w:val="18"/>
      </w:rPr>
      <w:t>Web: www.libertygroupltd.co.uk Company Registration Numbers Liberty Training Ltd 08352863</w:t>
    </w:r>
  </w:p>
  <w:p w14:paraId="3BF3C1E4" w14:textId="77777777" w:rsidR="008A4A3B" w:rsidRPr="0076044A" w:rsidRDefault="008A4A3B" w:rsidP="008A4A3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</w:p>
  <w:p w14:paraId="113B92DA" w14:textId="264AE9FD" w:rsidR="0076044A" w:rsidRPr="0076044A" w:rsidRDefault="008A4A3B" w:rsidP="008A4A3B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6044A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Equality Objectives Version 1 </w:t>
    </w:r>
  </w:p>
  <w:p w14:paraId="7B6BBBB3" w14:textId="4130B40F" w:rsidR="008A4A3B" w:rsidRPr="0076044A" w:rsidRDefault="008A4A3B" w:rsidP="0076044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6044A">
      <w:rPr>
        <w:rFonts w:ascii="Calibri" w:eastAsia="Calibri" w:hAnsi="Calibri" w:cs="Times New Roman"/>
        <w:color w:val="7F7F7F" w:themeColor="text1" w:themeTint="80"/>
        <w:sz w:val="18"/>
        <w:szCs w:val="18"/>
      </w:rPr>
      <w:t>Reviewed April 2022</w:t>
    </w:r>
    <w:r w:rsidR="0076044A" w:rsidRPr="0076044A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by </w:t>
    </w:r>
    <w:proofErr w:type="gramStart"/>
    <w:r w:rsidR="0076044A" w:rsidRPr="0076044A">
      <w:rPr>
        <w:rFonts w:ascii="Calibri" w:eastAsia="Calibri" w:hAnsi="Calibri" w:cs="Times New Roman"/>
        <w:color w:val="7F7F7F" w:themeColor="text1" w:themeTint="80"/>
        <w:sz w:val="18"/>
        <w:szCs w:val="18"/>
      </w:rPr>
      <w:t>M.Smith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C135" w14:textId="77777777" w:rsidR="0076044A" w:rsidRDefault="00760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78F6" w14:textId="77777777" w:rsidR="00B63036" w:rsidRDefault="00B63036" w:rsidP="008A4A3B">
      <w:pPr>
        <w:spacing w:after="0" w:line="240" w:lineRule="auto"/>
      </w:pPr>
      <w:r>
        <w:separator/>
      </w:r>
    </w:p>
  </w:footnote>
  <w:footnote w:type="continuationSeparator" w:id="0">
    <w:p w14:paraId="669DC8DD" w14:textId="77777777" w:rsidR="00B63036" w:rsidRDefault="00B63036" w:rsidP="008A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5662" w14:textId="77777777" w:rsidR="0076044A" w:rsidRDefault="00760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7426" w14:textId="5BEEED1D" w:rsidR="0036065B" w:rsidRDefault="0036065B" w:rsidP="0036065B">
    <w:pPr>
      <w:pStyle w:val="Header"/>
      <w:jc w:val="right"/>
    </w:pPr>
    <w:r>
      <w:rPr>
        <w:noProof/>
      </w:rPr>
      <w:drawing>
        <wp:inline distT="0" distB="0" distL="0" distR="0" wp14:anchorId="0EBF5468" wp14:editId="7FF6AE63">
          <wp:extent cx="993775" cy="499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0B49B9" w14:textId="77777777" w:rsidR="0076044A" w:rsidRDefault="0076044A" w:rsidP="0036065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694A" w14:textId="77777777" w:rsidR="0076044A" w:rsidRDefault="00760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FE3"/>
    <w:multiLevelType w:val="hybridMultilevel"/>
    <w:tmpl w:val="76DA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9C1"/>
    <w:multiLevelType w:val="hybridMultilevel"/>
    <w:tmpl w:val="C150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5312"/>
    <w:multiLevelType w:val="hybridMultilevel"/>
    <w:tmpl w:val="3D0C40DE"/>
    <w:lvl w:ilvl="0" w:tplc="B21EA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7711"/>
    <w:multiLevelType w:val="hybridMultilevel"/>
    <w:tmpl w:val="5EEE3504"/>
    <w:lvl w:ilvl="0" w:tplc="BF9AF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197A"/>
    <w:multiLevelType w:val="hybridMultilevel"/>
    <w:tmpl w:val="0EB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50D3"/>
    <w:multiLevelType w:val="hybridMultilevel"/>
    <w:tmpl w:val="DFFE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8150">
    <w:abstractNumId w:val="3"/>
  </w:num>
  <w:num w:numId="2" w16cid:durableId="983118975">
    <w:abstractNumId w:val="2"/>
  </w:num>
  <w:num w:numId="3" w16cid:durableId="79252532">
    <w:abstractNumId w:val="5"/>
  </w:num>
  <w:num w:numId="4" w16cid:durableId="334651598">
    <w:abstractNumId w:val="4"/>
  </w:num>
  <w:num w:numId="5" w16cid:durableId="589200326">
    <w:abstractNumId w:val="1"/>
  </w:num>
  <w:num w:numId="6" w16cid:durableId="153526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6E"/>
    <w:rsid w:val="00123CF7"/>
    <w:rsid w:val="00131411"/>
    <w:rsid w:val="0036065B"/>
    <w:rsid w:val="0040416E"/>
    <w:rsid w:val="004135DC"/>
    <w:rsid w:val="005A288B"/>
    <w:rsid w:val="0076044A"/>
    <w:rsid w:val="008A4A3B"/>
    <w:rsid w:val="00B63036"/>
    <w:rsid w:val="00BB06FA"/>
    <w:rsid w:val="00D2605D"/>
    <w:rsid w:val="00D70317"/>
    <w:rsid w:val="00D95F25"/>
    <w:rsid w:val="00DF432D"/>
    <w:rsid w:val="00EB4DA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0AB0F"/>
  <w15:chartTrackingRefBased/>
  <w15:docId w15:val="{D77DDE25-7BA0-46A2-A97C-FD24D9E7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16E"/>
    <w:pPr>
      <w:ind w:left="720"/>
      <w:contextualSpacing/>
    </w:pPr>
  </w:style>
  <w:style w:type="paragraph" w:styleId="NoSpacing">
    <w:name w:val="No Spacing"/>
    <w:uiPriority w:val="1"/>
    <w:qFormat/>
    <w:rsid w:val="00FF6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B"/>
  </w:style>
  <w:style w:type="paragraph" w:styleId="Footer">
    <w:name w:val="footer"/>
    <w:basedOn w:val="Normal"/>
    <w:link w:val="FooterChar"/>
    <w:uiPriority w:val="99"/>
    <w:unhideWhenUsed/>
    <w:rsid w:val="008A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AAEBD5FE3B448CC01A3BE2A29B1C" ma:contentTypeVersion="15" ma:contentTypeDescription="Create a new document." ma:contentTypeScope="" ma:versionID="066f93c1467b2faf8a929c0cada876b2">
  <xsd:schema xmlns:xsd="http://www.w3.org/2001/XMLSchema" xmlns:xs="http://www.w3.org/2001/XMLSchema" xmlns:p="http://schemas.microsoft.com/office/2006/metadata/properties" xmlns:ns2="15089a71-2b86-4913-9048-7c07144d8997" xmlns:ns3="e4f92489-b717-4400-a980-6754dc742d56" targetNamespace="http://schemas.microsoft.com/office/2006/metadata/properties" ma:root="true" ma:fieldsID="836c19ffef7e064a22a35306f5007fd6" ns2:_="" ns3:_="">
    <xsd:import namespace="15089a71-2b86-4913-9048-7c07144d8997"/>
    <xsd:import namespace="e4f92489-b717-4400-a980-6754dc742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9a71-2b86-4913-9048-7c07144d89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92489-b717-4400-a980-6754dc742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5CAA3-BCEE-4728-820A-11E4D35A85A3}"/>
</file>

<file path=customXml/itemProps2.xml><?xml version="1.0" encoding="utf-8"?>
<ds:datastoreItem xmlns:ds="http://schemas.openxmlformats.org/officeDocument/2006/customXml" ds:itemID="{95DA8435-3852-4F4A-AF3A-5DDD3D5E9DED}"/>
</file>

<file path=customXml/itemProps3.xml><?xml version="1.0" encoding="utf-8"?>
<ds:datastoreItem xmlns:ds="http://schemas.openxmlformats.org/officeDocument/2006/customXml" ds:itemID="{B18F577B-45C7-4F28-98D0-45C23879C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Hollis</dc:creator>
  <cp:keywords/>
  <dc:description/>
  <cp:lastModifiedBy>Michelle Smith</cp:lastModifiedBy>
  <cp:revision>3</cp:revision>
  <dcterms:created xsi:type="dcterms:W3CDTF">2022-04-29T12:35:00Z</dcterms:created>
  <dcterms:modified xsi:type="dcterms:W3CDTF">2022-04-29T12:36:00Z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0x010100E2B5AAEBD5FE3B448CC01A3BE2A29B1C</vt:lpwstr>
  </property>
</Properties>
</file>